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天津市哲学社会科学规划智库项目</w:t>
      </w:r>
    </w:p>
    <w:p>
      <w:pPr>
        <w:spacing w:line="58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（重点调研课题专项）课题指南</w:t>
      </w:r>
    </w:p>
    <w:p>
      <w:pPr>
        <w:spacing w:line="588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1.持续推进政治生态建设对策研究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ascii="仿宋_GB2312" w:eastAsia="仿宋_GB2312"/>
          <w:kern w:val="0"/>
          <w:sz w:val="32"/>
          <w:szCs w:val="32"/>
        </w:rPr>
        <w:t>加强换届后各级领导班子和干部队伍建设研究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3.推动京津冀协同发展取得更大突破路径对策研究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4.打造改革开放先行区路径研究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5.加快新一代信息技术与制造业深度融合示范区建设对策研究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6.进一步加大高新技术企业培育力度对策研究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7.增强先进制造研发基地核心竞争力对策研究</w:t>
      </w:r>
    </w:p>
    <w:p>
      <w:pPr>
        <w:spacing w:line="588" w:lineRule="exact"/>
        <w:ind w:left="317" w:hanging="316" w:hangingChars="99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8.增强“滨城”城市综合配套能力提升“津城”现代服务功能对策研究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9.安全韧性城市建设的思路和对策研究</w:t>
      </w:r>
    </w:p>
    <w:p>
      <w:pPr>
        <w:spacing w:line="588" w:lineRule="exact"/>
        <w:ind w:left="458" w:hanging="457" w:hangingChars="143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10.建设智能高效的数字政府提升现代化大都市治理能力对策研究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11.落实碳达峰、碳中和目标任务的难点和关键举措对策研究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12.医药产业与医疗服务业融合发展对策研究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13.智慧港口、绿色港口建设对策研究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14.新发展阶段创新投融资渠道与方式对策研究</w:t>
      </w:r>
    </w:p>
    <w:p>
      <w:pPr>
        <w:spacing w:line="588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15.</w:t>
      </w:r>
      <w:r>
        <w:rPr>
          <w:rFonts w:ascii="仿宋_GB2312" w:eastAsia="仿宋_GB2312"/>
          <w:kern w:val="0"/>
          <w:sz w:val="32"/>
          <w:szCs w:val="32"/>
        </w:rPr>
        <w:t>深化党建引领基层治理创新研究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16.完善配套服务创造良好的营商环境创新环境对策研究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17.推进文商旅高质量融合发展对策研究</w:t>
      </w:r>
    </w:p>
    <w:p>
      <w:pPr>
        <w:spacing w:line="588" w:lineRule="exact"/>
        <w:ind w:left="477" w:hanging="476" w:hangingChars="149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18.</w:t>
      </w:r>
      <w:r>
        <w:rPr>
          <w:rFonts w:ascii="仿宋_GB2312" w:eastAsia="仿宋_GB2312"/>
          <w:kern w:val="0"/>
          <w:sz w:val="32"/>
          <w:szCs w:val="32"/>
        </w:rPr>
        <w:t>推动我市城乡一体发展、促进共同富裕对策研究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19.促进中医药产业发展对策研究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20.扩大优质教育资源供给对策研究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21.高校党建与高校事业深度融合发展对策研究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22.培育壮大我市新型农业经营主体对策研究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23.新形势下建立人才资源竞争优势对策研究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24.加强我市国际传播能力建设对策研究</w:t>
      </w:r>
    </w:p>
    <w:p>
      <w:pPr>
        <w:spacing w:line="588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25.深化全域全方位全民文明城市创建对策研究</w:t>
      </w:r>
    </w:p>
    <w:p>
      <w:pPr>
        <w:spacing w:line="588" w:lineRule="exact"/>
        <w:ind w:right="180" w:firstLine="680" w:firstLineChars="200"/>
        <w:jc w:val="center"/>
        <w:rPr>
          <w:rFonts w:hint="eastAsia" w:ascii="仿宋" w:hAnsi="仿宋" w:eastAsia="仿宋_GB2312" w:cs="仿宋"/>
          <w:color w:val="000000"/>
          <w:kern w:val="0"/>
          <w:sz w:val="34"/>
          <w:szCs w:val="3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87" w:bottom="1701" w:left="1588" w:header="851" w:footer="1247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color w:val="FFFFFF"/>
        <w:sz w:val="24"/>
        <w:szCs w:val="24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  <w:r>
      <w:rPr>
        <w:rStyle w:val="5"/>
        <w:rFonts w:hint="eastAsia"/>
        <w:color w:val="FFFFFF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327C8"/>
    <w:rsid w:val="6CA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2021-10-26T08:58:00Z</dcterms:created>
  <dc:creator>王anna</dc:creator>
  <cp:lastModifiedBy>王anna</cp:lastModifiedBy>
  <dcterms:modified xsi:type="dcterms:W3CDTF">2021-10-26T08:58:57Z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E840516FDCC740728478CC379F7B5999</vt:lpwstr>
  </property>
</Properties>
</file>